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9F" w:rsidRDefault="0038049F" w:rsidP="0038049F">
      <w:pPr>
        <w:pStyle w:val="Ttulo"/>
        <w:rPr>
          <w:noProof/>
          <w:sz w:val="40"/>
          <w:szCs w:val="40"/>
          <w:lang w:eastAsia="en-GB"/>
        </w:rPr>
      </w:pPr>
    </w:p>
    <w:p w:rsidR="0038049F" w:rsidRPr="0038049F" w:rsidRDefault="0038049F" w:rsidP="0038049F">
      <w:pPr>
        <w:pStyle w:val="Ttulo"/>
        <w:rPr>
          <w:noProof/>
          <w:color w:val="CF5583"/>
          <w:sz w:val="40"/>
          <w:szCs w:val="40"/>
          <w:lang w:eastAsia="en-GB"/>
        </w:rPr>
      </w:pPr>
    </w:p>
    <w:p w:rsidR="0038049F" w:rsidRPr="00112709" w:rsidRDefault="0038049F" w:rsidP="0038049F">
      <w:pPr>
        <w:pStyle w:val="Ttulo"/>
        <w:rPr>
          <w:rFonts w:ascii="Verdana" w:hAnsi="Verdana" w:cs="Arial"/>
          <w:noProof/>
          <w:color w:val="EC3870"/>
          <w:sz w:val="40"/>
          <w:szCs w:val="40"/>
          <w:lang w:eastAsia="en-GB"/>
        </w:rPr>
      </w:pPr>
      <w:r w:rsidRPr="00112709">
        <w:rPr>
          <w:rFonts w:ascii="Verdana" w:hAnsi="Verdana" w:cs="Arial"/>
          <w:noProof/>
          <w:color w:val="EC3870"/>
          <w:sz w:val="40"/>
          <w:szCs w:val="40"/>
          <w:lang w:eastAsia="en-GB"/>
        </w:rPr>
        <w:t xml:space="preserve">Respuesta al </w:t>
      </w:r>
      <w:r w:rsidRPr="00112709">
        <w:rPr>
          <w:rFonts w:ascii="Verdana" w:hAnsi="Verdana" w:cs="Arial"/>
          <w:noProof/>
          <w:color w:val="EC3870"/>
          <w:sz w:val="40"/>
          <w:szCs w:val="40"/>
          <w:highlight w:val="yellow"/>
          <w:lang w:eastAsia="en-GB"/>
        </w:rPr>
        <w:t>anteproyecto</w:t>
      </w:r>
      <w:r w:rsidRPr="00112709">
        <w:rPr>
          <w:rFonts w:ascii="Verdana" w:hAnsi="Verdana" w:cs="Arial"/>
          <w:noProof/>
          <w:color w:val="EC3870"/>
          <w:sz w:val="40"/>
          <w:szCs w:val="40"/>
          <w:lang w:eastAsia="en-GB"/>
        </w:rPr>
        <w:t xml:space="preserve"> de la Declaración Política para la Reunión de Alto Nivel sobre la Cobertura Universal de Salud</w:t>
      </w:r>
    </w:p>
    <w:p w:rsidR="0038049F" w:rsidRPr="00112709" w:rsidRDefault="0038049F" w:rsidP="0038049F">
      <w:pPr>
        <w:pStyle w:val="Ttulo"/>
        <w:rPr>
          <w:rFonts w:ascii="Verdana" w:hAnsi="Verdana" w:cs="Arial"/>
          <w:noProof/>
          <w:color w:val="CF5583"/>
          <w:sz w:val="20"/>
          <w:szCs w:val="20"/>
          <w:lang w:eastAsia="en-GB"/>
        </w:rPr>
      </w:pPr>
    </w:p>
    <w:p w:rsidR="0038049F" w:rsidRPr="00112709" w:rsidRDefault="0038049F" w:rsidP="0038049F">
      <w:pPr>
        <w:pStyle w:val="Ttulo"/>
        <w:rPr>
          <w:rFonts w:ascii="Verdana" w:hAnsi="Verdana" w:cs="Arial"/>
          <w:noProof/>
          <w:color w:val="auto"/>
          <w:sz w:val="20"/>
          <w:szCs w:val="20"/>
          <w:lang w:eastAsia="en-GB"/>
        </w:rPr>
      </w:pPr>
      <w:r w:rsidRPr="00112709">
        <w:rPr>
          <w:rFonts w:ascii="Verdana" w:hAnsi="Verdana"/>
          <w:sz w:val="20"/>
          <w:szCs w:val="20"/>
        </w:rPr>
        <w:drawing>
          <wp:anchor distT="0" distB="0" distL="114300" distR="114300" simplePos="0" relativeHeight="251659264" behindDoc="1" locked="0" layoutInCell="1" allowOverlap="1">
            <wp:simplePos x="0" y="0"/>
            <wp:positionH relativeFrom="page">
              <wp:posOffset>5400675</wp:posOffset>
            </wp:positionH>
            <wp:positionV relativeFrom="page">
              <wp:posOffset>361950</wp:posOffset>
            </wp:positionV>
            <wp:extent cx="1622425" cy="9048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Age-logo-RG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19280" cy="9010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sidRPr="00112709">
        <w:rPr>
          <w:rFonts w:ascii="Verdana" w:hAnsi="Verdana" w:cs="Arial"/>
          <w:noProof/>
          <w:color w:val="auto"/>
          <w:sz w:val="20"/>
          <w:szCs w:val="20"/>
          <w:lang w:eastAsia="en-GB"/>
        </w:rPr>
        <w:t>HelpAge le da la bienvenida al anteproyecto de la Declaración Política para la Reunión de Alto Nivel sobre la Cobertura Universal de Salud, ‘Cobertura Universal de la Salud: Moviendonos juntos hacia un mundo más saludable’.</w:t>
      </w:r>
    </w:p>
    <w:p w:rsidR="0038049F" w:rsidRPr="00112709" w:rsidRDefault="0038049F" w:rsidP="0038049F">
      <w:pPr>
        <w:rPr>
          <w:rFonts w:ascii="Verdana" w:hAnsi="Verdana" w:cs="Arial"/>
          <w:sz w:val="20"/>
          <w:szCs w:val="20"/>
          <w:lang w:eastAsia="en-GB"/>
        </w:rPr>
      </w:pPr>
      <w:r w:rsidRPr="00112709">
        <w:rPr>
          <w:rFonts w:ascii="Verdana" w:hAnsi="Verdana" w:cs="Arial"/>
          <w:sz w:val="20"/>
          <w:szCs w:val="20"/>
          <w:lang w:eastAsia="en-GB"/>
        </w:rPr>
        <w:t>Como una organización que trabaja por un mundo en el que las personas mayores pueden llevar una vida digna, saludable y segura, HelpAge agradece los esfuerzos que realiza la Declaración Política para garantizar que las personas mayores no se queden atrás en el esfuerzo por lograr la Cobertura Universal de la Salud.</w:t>
      </w:r>
      <w:r w:rsidR="00BB76A1" w:rsidRPr="00112709">
        <w:rPr>
          <w:rFonts w:ascii="Verdana" w:hAnsi="Verdana" w:cs="Arial"/>
          <w:sz w:val="20"/>
          <w:szCs w:val="20"/>
          <w:lang w:eastAsia="en-GB"/>
        </w:rPr>
        <w:t xml:space="preserve"> Particularmente, HelpAge se complace en ver</w:t>
      </w:r>
      <w:r w:rsidR="00597A6A">
        <w:rPr>
          <w:rFonts w:ascii="Verdana" w:hAnsi="Verdana" w:cs="Arial"/>
          <w:sz w:val="20"/>
          <w:szCs w:val="20"/>
          <w:lang w:eastAsia="en-GB"/>
        </w:rPr>
        <w:t xml:space="preserve"> que</w:t>
      </w:r>
      <w:r w:rsidR="00BB76A1" w:rsidRPr="00112709">
        <w:rPr>
          <w:rFonts w:ascii="Verdana" w:hAnsi="Verdana" w:cs="Arial"/>
          <w:sz w:val="20"/>
          <w:szCs w:val="20"/>
          <w:lang w:eastAsia="en-GB"/>
        </w:rPr>
        <w:t xml:space="preserve"> el anteproyect</w:t>
      </w:r>
      <w:r w:rsidR="00597A6A">
        <w:rPr>
          <w:rFonts w:ascii="Verdana" w:hAnsi="Verdana" w:cs="Arial"/>
          <w:sz w:val="20"/>
          <w:szCs w:val="20"/>
          <w:lang w:eastAsia="en-GB"/>
        </w:rPr>
        <w:t xml:space="preserve">o de la Declaración Política promueve </w:t>
      </w:r>
      <w:r w:rsidR="00BB76A1" w:rsidRPr="00112709">
        <w:rPr>
          <w:rFonts w:ascii="Verdana" w:hAnsi="Verdana" w:cs="Arial"/>
          <w:sz w:val="20"/>
          <w:szCs w:val="20"/>
          <w:lang w:eastAsia="en-GB"/>
        </w:rPr>
        <w:t>temas que son altamente relevantes para la salud y el cuidado de las personas mayores:</w:t>
      </w:r>
    </w:p>
    <w:p w:rsidR="00BB76A1" w:rsidRPr="00112709" w:rsidRDefault="00BB76A1" w:rsidP="00BB76A1">
      <w:pPr>
        <w:pStyle w:val="Prrafodelista"/>
        <w:numPr>
          <w:ilvl w:val="0"/>
          <w:numId w:val="1"/>
        </w:numPr>
        <w:rPr>
          <w:rFonts w:ascii="Verdana" w:hAnsi="Verdana" w:cs="Arial"/>
          <w:sz w:val="20"/>
          <w:szCs w:val="20"/>
          <w:lang w:eastAsia="en-GB"/>
        </w:rPr>
      </w:pPr>
      <w:r w:rsidRPr="00112709">
        <w:rPr>
          <w:rFonts w:ascii="Verdana" w:hAnsi="Verdana" w:cs="Arial"/>
          <w:sz w:val="20"/>
          <w:szCs w:val="20"/>
          <w:lang w:eastAsia="en-GB"/>
        </w:rPr>
        <w:t>La identificación explícita de las personas mayores entre los grupos que están en riesgo de estigmatización y marginación, no deben quedarse por fuera d</w:t>
      </w:r>
      <w:r w:rsidR="00597A6A">
        <w:rPr>
          <w:rFonts w:ascii="Verdana" w:hAnsi="Verdana" w:cs="Arial"/>
          <w:sz w:val="20"/>
          <w:szCs w:val="20"/>
          <w:lang w:eastAsia="en-GB"/>
        </w:rPr>
        <w:t>e los esfuerzos para lograr la Cobertura Universal de la S</w:t>
      </w:r>
      <w:r w:rsidRPr="00112709">
        <w:rPr>
          <w:rFonts w:ascii="Verdana" w:hAnsi="Verdana" w:cs="Arial"/>
          <w:sz w:val="20"/>
          <w:szCs w:val="20"/>
          <w:lang w:eastAsia="en-GB"/>
        </w:rPr>
        <w:t>alud.</w:t>
      </w:r>
    </w:p>
    <w:p w:rsidR="00112709" w:rsidRPr="00112709" w:rsidRDefault="00112709" w:rsidP="00112709">
      <w:pPr>
        <w:pStyle w:val="Prrafodelista"/>
        <w:rPr>
          <w:rFonts w:ascii="Verdana" w:hAnsi="Verdana" w:cs="Arial"/>
          <w:sz w:val="20"/>
          <w:szCs w:val="20"/>
          <w:lang w:eastAsia="en-GB"/>
        </w:rPr>
      </w:pPr>
    </w:p>
    <w:p w:rsidR="00112709" w:rsidRPr="00112709" w:rsidRDefault="00BB76A1" w:rsidP="00112709">
      <w:pPr>
        <w:pStyle w:val="Prrafodelista"/>
        <w:numPr>
          <w:ilvl w:val="0"/>
          <w:numId w:val="1"/>
        </w:numPr>
        <w:rPr>
          <w:rFonts w:ascii="Verdana" w:hAnsi="Verdana" w:cs="Arial"/>
          <w:sz w:val="20"/>
          <w:szCs w:val="20"/>
          <w:lang w:eastAsia="en-GB"/>
        </w:rPr>
      </w:pPr>
      <w:r w:rsidRPr="00112709">
        <w:rPr>
          <w:rFonts w:ascii="Verdana" w:hAnsi="Verdana" w:cs="Arial"/>
          <w:sz w:val="20"/>
          <w:szCs w:val="20"/>
          <w:lang w:eastAsia="en-GB"/>
        </w:rPr>
        <w:t xml:space="preserve">El fuerte enfoque en la </w:t>
      </w:r>
      <w:r w:rsidRPr="00112709">
        <w:rPr>
          <w:rFonts w:ascii="Verdana" w:hAnsi="Verdana" w:cs="Arial"/>
          <w:b/>
          <w:sz w:val="20"/>
          <w:szCs w:val="20"/>
          <w:lang w:eastAsia="en-GB"/>
        </w:rPr>
        <w:t>universalidad</w:t>
      </w:r>
      <w:r w:rsidRPr="00112709">
        <w:rPr>
          <w:rFonts w:ascii="Verdana" w:hAnsi="Verdana" w:cs="Arial"/>
          <w:sz w:val="20"/>
          <w:szCs w:val="20"/>
          <w:lang w:eastAsia="en-GB"/>
        </w:rPr>
        <w:t>, con el objetivo de construir un mundo más saludable para todos, sin distinción</w:t>
      </w:r>
      <w:r w:rsidR="007578EF" w:rsidRPr="00112709">
        <w:rPr>
          <w:rFonts w:ascii="Verdana" w:hAnsi="Verdana" w:cs="Arial"/>
          <w:sz w:val="20"/>
          <w:szCs w:val="20"/>
          <w:lang w:eastAsia="en-GB"/>
        </w:rPr>
        <w:t>, junto con el deseo de conseguir</w:t>
      </w:r>
      <w:r w:rsidRPr="00112709">
        <w:rPr>
          <w:rFonts w:ascii="Verdana" w:hAnsi="Verdana" w:cs="Arial"/>
          <w:sz w:val="20"/>
          <w:szCs w:val="20"/>
          <w:lang w:eastAsia="en-GB"/>
        </w:rPr>
        <w:t xml:space="preserve"> </w:t>
      </w:r>
      <w:r w:rsidR="007578EF" w:rsidRPr="00112709">
        <w:rPr>
          <w:rFonts w:ascii="Verdana" w:hAnsi="Verdana" w:cs="Arial"/>
          <w:b/>
          <w:sz w:val="20"/>
          <w:szCs w:val="20"/>
          <w:lang w:eastAsia="en-GB"/>
        </w:rPr>
        <w:t>bienestar y vidas más saludables en todas las edades</w:t>
      </w:r>
      <w:r w:rsidR="007578EF" w:rsidRPr="00112709">
        <w:rPr>
          <w:rFonts w:ascii="Verdana" w:hAnsi="Verdana" w:cs="Arial"/>
          <w:sz w:val="20"/>
          <w:szCs w:val="20"/>
          <w:lang w:eastAsia="en-GB"/>
        </w:rPr>
        <w:t>. Este enfoque universal y la importancia de no dejar a nadie atrás, primero, es de gran importancia para HelpAge y sus miembros de la red, debido</w:t>
      </w:r>
      <w:r w:rsidR="00597A6A">
        <w:rPr>
          <w:rFonts w:ascii="Verdana" w:hAnsi="Verdana" w:cs="Arial"/>
          <w:sz w:val="20"/>
          <w:szCs w:val="20"/>
          <w:lang w:eastAsia="en-GB"/>
        </w:rPr>
        <w:t xml:space="preserve"> a las necesidades en atención y</w:t>
      </w:r>
      <w:r w:rsidR="007578EF" w:rsidRPr="00112709">
        <w:rPr>
          <w:rFonts w:ascii="Verdana" w:hAnsi="Verdana" w:cs="Arial"/>
          <w:sz w:val="20"/>
          <w:szCs w:val="20"/>
          <w:lang w:eastAsia="en-GB"/>
        </w:rPr>
        <w:t xml:space="preserve"> salud que experimentan las personas mayores, y el riesgo asociado a las dificultades económicas</w:t>
      </w:r>
      <w:r w:rsidR="0067179A" w:rsidRPr="00112709">
        <w:rPr>
          <w:rFonts w:ascii="Verdana" w:hAnsi="Verdana" w:cs="Arial"/>
          <w:sz w:val="20"/>
          <w:szCs w:val="20"/>
          <w:lang w:eastAsia="en-GB"/>
        </w:rPr>
        <w:t xml:space="preserve"> si no se brindan servicios de salud y atención gratuitos. Especialmente agradece</w:t>
      </w:r>
      <w:r w:rsidR="00597A6A">
        <w:rPr>
          <w:rFonts w:ascii="Verdana" w:hAnsi="Verdana" w:cs="Arial"/>
          <w:sz w:val="20"/>
          <w:szCs w:val="20"/>
          <w:lang w:eastAsia="en-GB"/>
        </w:rPr>
        <w:t>mo</w:t>
      </w:r>
      <w:r w:rsidR="0067179A" w:rsidRPr="00112709">
        <w:rPr>
          <w:rFonts w:ascii="Verdana" w:hAnsi="Verdana" w:cs="Arial"/>
          <w:sz w:val="20"/>
          <w:szCs w:val="20"/>
          <w:lang w:eastAsia="en-GB"/>
        </w:rPr>
        <w:t>s el apoyo para el suministro de datos desglosados por edad de los gastos directos en servicios de salud, y en la asequibilidad y disponibilidad de los medicamentos, incluso para las enfermedades no transmisibles (ENT).</w:t>
      </w:r>
      <w:r w:rsidR="00112709" w:rsidRPr="00112709">
        <w:rPr>
          <w:rFonts w:ascii="Verdana" w:hAnsi="Verdana" w:cs="Arial"/>
          <w:sz w:val="20"/>
          <w:szCs w:val="20"/>
          <w:lang w:eastAsia="en-GB"/>
        </w:rPr>
        <w:br/>
      </w:r>
    </w:p>
    <w:p w:rsidR="008C732A" w:rsidRDefault="00112709" w:rsidP="008C732A">
      <w:pPr>
        <w:pStyle w:val="Prrafodelista"/>
        <w:numPr>
          <w:ilvl w:val="0"/>
          <w:numId w:val="1"/>
        </w:numPr>
        <w:rPr>
          <w:rFonts w:ascii="Verdana" w:hAnsi="Verdana" w:cs="Arial"/>
          <w:sz w:val="20"/>
          <w:szCs w:val="20"/>
          <w:lang w:eastAsia="en-GB"/>
        </w:rPr>
      </w:pPr>
      <w:r w:rsidRPr="00112709">
        <w:rPr>
          <w:rFonts w:ascii="Verdana" w:hAnsi="Verdana" w:cs="Arial"/>
          <w:sz w:val="20"/>
          <w:szCs w:val="20"/>
          <w:lang w:eastAsia="en-GB"/>
        </w:rPr>
        <w:t xml:space="preserve">El énfasis en un </w:t>
      </w:r>
      <w:r w:rsidRPr="0055269D">
        <w:rPr>
          <w:rFonts w:ascii="Verdana" w:hAnsi="Verdana" w:cs="Arial"/>
          <w:b/>
          <w:sz w:val="20"/>
          <w:szCs w:val="20"/>
          <w:lang w:eastAsia="en-GB"/>
        </w:rPr>
        <w:t>enfoque holístico e integrado</w:t>
      </w:r>
      <w:r w:rsidRPr="00112709">
        <w:rPr>
          <w:rFonts w:ascii="Verdana" w:hAnsi="Verdana" w:cs="Arial"/>
          <w:sz w:val="20"/>
          <w:szCs w:val="20"/>
          <w:lang w:eastAsia="en-GB"/>
        </w:rPr>
        <w:t xml:space="preserve"> que promueva la necesidad de </w:t>
      </w:r>
      <w:r w:rsidR="00FC4835">
        <w:rPr>
          <w:rFonts w:ascii="Verdana" w:hAnsi="Verdana" w:cs="Arial"/>
          <w:sz w:val="20"/>
          <w:szCs w:val="20"/>
          <w:lang w:eastAsia="en-GB"/>
        </w:rPr>
        <w:t xml:space="preserve">la </w:t>
      </w:r>
      <w:r w:rsidR="00FC4835" w:rsidRPr="00112709">
        <w:rPr>
          <w:rFonts w:ascii="Verdana" w:hAnsi="Verdana" w:cs="Arial"/>
          <w:sz w:val="20"/>
          <w:szCs w:val="20"/>
          <w:lang w:eastAsia="en-GB"/>
        </w:rPr>
        <w:t>Cobertura Universal de la Salud</w:t>
      </w:r>
      <w:r w:rsidRPr="00112709">
        <w:rPr>
          <w:rFonts w:ascii="Verdana" w:hAnsi="Verdana" w:cs="Arial"/>
          <w:sz w:val="20"/>
          <w:szCs w:val="20"/>
          <w:lang w:eastAsia="en-GB"/>
        </w:rPr>
        <w:t xml:space="preserve"> para garantizar que todas las personas y comunidades puedan utilizar los servicios de salud paliativos, preventivos, curativos, de rehabilitación y/o que necesiten rehabilitación. Un enfoque holístico e integrado es de gran importancia para asegurar que se satisfagan las necesidades de salud y </w:t>
      </w:r>
      <w:r w:rsidR="00597A6A">
        <w:rPr>
          <w:rFonts w:ascii="Verdana" w:hAnsi="Verdana" w:cs="Arial"/>
          <w:sz w:val="20"/>
          <w:szCs w:val="20"/>
          <w:lang w:eastAsia="en-GB"/>
        </w:rPr>
        <w:t xml:space="preserve">el </w:t>
      </w:r>
      <w:r w:rsidRPr="00112709">
        <w:rPr>
          <w:rFonts w:ascii="Verdana" w:hAnsi="Verdana" w:cs="Arial"/>
          <w:sz w:val="20"/>
          <w:szCs w:val="20"/>
          <w:lang w:eastAsia="en-GB"/>
        </w:rPr>
        <w:t xml:space="preserve">cuidado en las personas mayores. Con </w:t>
      </w:r>
      <w:r>
        <w:rPr>
          <w:rFonts w:ascii="Verdana" w:hAnsi="Verdana" w:cs="Arial"/>
          <w:sz w:val="20"/>
          <w:szCs w:val="20"/>
          <w:lang w:eastAsia="en-GB"/>
        </w:rPr>
        <w:t xml:space="preserve">las complejas y múltiples morbilidades que cuentan </w:t>
      </w:r>
      <w:r w:rsidR="00FC4835">
        <w:rPr>
          <w:rFonts w:ascii="Verdana" w:hAnsi="Verdana" w:cs="Arial"/>
          <w:sz w:val="20"/>
          <w:szCs w:val="20"/>
          <w:lang w:eastAsia="en-GB"/>
        </w:rPr>
        <w:t xml:space="preserve">las personas mayores, es crítico realizar un enfoque holístico e integrado como el que se especifica en la Declaración </w:t>
      </w:r>
      <w:r w:rsidR="00FC4835">
        <w:rPr>
          <w:rFonts w:ascii="Verdana" w:hAnsi="Verdana" w:cs="Arial"/>
          <w:sz w:val="20"/>
          <w:szCs w:val="20"/>
          <w:lang w:eastAsia="en-GB"/>
        </w:rPr>
        <w:lastRenderedPageBreak/>
        <w:t xml:space="preserve">Política. Por lo tanto, HelpAge insta a los que realizan el texto final a hacer todo lo posible para mantener la inclusión de los servicios de cuidados paliativos, preventivos, curativos y de rehabilitación </w:t>
      </w:r>
      <w:r w:rsidR="008C732A">
        <w:rPr>
          <w:rFonts w:ascii="Verdana" w:hAnsi="Verdana" w:cs="Arial"/>
          <w:sz w:val="20"/>
          <w:szCs w:val="20"/>
          <w:lang w:eastAsia="en-GB"/>
        </w:rPr>
        <w:t>en la Declaración final.</w:t>
      </w:r>
    </w:p>
    <w:p w:rsidR="008C732A" w:rsidRDefault="008C732A" w:rsidP="008C732A">
      <w:pPr>
        <w:pStyle w:val="Prrafodelista"/>
        <w:rPr>
          <w:rFonts w:ascii="Verdana" w:hAnsi="Verdana" w:cs="Arial"/>
          <w:sz w:val="20"/>
          <w:szCs w:val="20"/>
          <w:lang w:eastAsia="en-GB"/>
        </w:rPr>
      </w:pPr>
    </w:p>
    <w:p w:rsidR="008C732A" w:rsidRDefault="008C732A" w:rsidP="008C732A">
      <w:pPr>
        <w:pStyle w:val="Prrafodelista"/>
        <w:numPr>
          <w:ilvl w:val="0"/>
          <w:numId w:val="1"/>
        </w:numPr>
        <w:rPr>
          <w:rFonts w:ascii="Verdana" w:hAnsi="Verdana" w:cs="Arial"/>
          <w:sz w:val="20"/>
          <w:szCs w:val="20"/>
          <w:lang w:eastAsia="en-GB"/>
        </w:rPr>
      </w:pPr>
      <w:r>
        <w:rPr>
          <w:rFonts w:ascii="Verdana" w:hAnsi="Verdana" w:cs="Arial"/>
          <w:sz w:val="20"/>
          <w:szCs w:val="20"/>
          <w:lang w:eastAsia="en-GB"/>
        </w:rPr>
        <w:t xml:space="preserve">HelpAge agradece la inclusión de referencias en la </w:t>
      </w:r>
      <w:r w:rsidRPr="0055269D">
        <w:rPr>
          <w:rFonts w:ascii="Verdana" w:hAnsi="Verdana" w:cs="Arial"/>
          <w:b/>
          <w:sz w:val="20"/>
          <w:szCs w:val="20"/>
          <w:lang w:eastAsia="en-GB"/>
        </w:rPr>
        <w:t>asistencia social</w:t>
      </w:r>
      <w:r>
        <w:rPr>
          <w:rFonts w:ascii="Verdana" w:hAnsi="Verdana" w:cs="Arial"/>
          <w:sz w:val="20"/>
          <w:szCs w:val="20"/>
          <w:lang w:eastAsia="en-GB"/>
        </w:rPr>
        <w:t xml:space="preserve">, la salud y el bienestar para todas las edades. Esto es particularmente relevante para las personas mayores que con frecuencia dependen de los servicios de salud para tratar sus necesidades físicas y mentales, y de esta forma mantener su independencia en el futuro. Sin embargo, creemos que la Declaración podría ir más allá al comprometerse a garantizar </w:t>
      </w:r>
      <w:r w:rsidRPr="0055269D">
        <w:rPr>
          <w:rFonts w:ascii="Verdana" w:hAnsi="Verdana" w:cs="Arial"/>
          <w:b/>
          <w:sz w:val="20"/>
          <w:szCs w:val="20"/>
          <w:lang w:eastAsia="en-GB"/>
        </w:rPr>
        <w:t>los enfoques de la Cobertura Universal de la Salud, integrados y centrados en las personas</w:t>
      </w:r>
      <w:r>
        <w:rPr>
          <w:rFonts w:ascii="Verdana" w:hAnsi="Verdana" w:cs="Arial"/>
          <w:sz w:val="20"/>
          <w:szCs w:val="20"/>
          <w:lang w:eastAsia="en-GB"/>
        </w:rPr>
        <w:t xml:space="preserve"> que sean capaces de garantizar que los sistemas respondan adecuadamente a las cambiantes circunstancias </w:t>
      </w:r>
      <w:r w:rsidRPr="008C732A">
        <w:rPr>
          <w:rFonts w:ascii="Verdana" w:hAnsi="Verdana" w:cs="Arial"/>
          <w:sz w:val="20"/>
          <w:szCs w:val="20"/>
          <w:lang w:eastAsia="en-GB"/>
        </w:rPr>
        <w:t>de salud de las personas mayores con enfermedades crónicas y complejas.</w:t>
      </w:r>
    </w:p>
    <w:p w:rsidR="0055269D" w:rsidRPr="0055269D" w:rsidRDefault="0055269D" w:rsidP="0055269D">
      <w:pPr>
        <w:pStyle w:val="Prrafodelista"/>
        <w:rPr>
          <w:rFonts w:ascii="Verdana" w:hAnsi="Verdana" w:cs="Arial"/>
          <w:sz w:val="20"/>
          <w:szCs w:val="20"/>
          <w:lang w:eastAsia="en-GB"/>
        </w:rPr>
      </w:pPr>
    </w:p>
    <w:p w:rsidR="008D353C" w:rsidRPr="008D353C" w:rsidRDefault="00597A6A" w:rsidP="008D353C">
      <w:pPr>
        <w:pStyle w:val="Prrafodelista"/>
        <w:numPr>
          <w:ilvl w:val="0"/>
          <w:numId w:val="1"/>
        </w:numPr>
        <w:rPr>
          <w:rFonts w:ascii="Verdana" w:hAnsi="Verdana" w:cs="Arial"/>
          <w:sz w:val="20"/>
          <w:szCs w:val="20"/>
          <w:lang w:eastAsia="en-GB"/>
        </w:rPr>
      </w:pPr>
      <w:r>
        <w:rPr>
          <w:rFonts w:ascii="Verdana" w:hAnsi="Verdana" w:cs="Arial"/>
          <w:sz w:val="20"/>
          <w:szCs w:val="20"/>
          <w:lang w:eastAsia="en-GB"/>
        </w:rPr>
        <w:t>HelpAge apoya</w:t>
      </w:r>
      <w:r w:rsidR="008D353C">
        <w:rPr>
          <w:rFonts w:ascii="Verdana" w:hAnsi="Verdana" w:cs="Arial"/>
          <w:sz w:val="20"/>
          <w:szCs w:val="20"/>
          <w:lang w:eastAsia="en-GB"/>
        </w:rPr>
        <w:t xml:space="preserve"> fuertemente el compromiso que se expresa en el anteproyecto de la Declaración Política para formar una </w:t>
      </w:r>
      <w:r w:rsidR="008D353C" w:rsidRPr="008D353C">
        <w:rPr>
          <w:rFonts w:ascii="Verdana" w:hAnsi="Verdana" w:cs="Arial"/>
          <w:b/>
          <w:sz w:val="20"/>
          <w:szCs w:val="20"/>
          <w:lang w:eastAsia="en-GB"/>
        </w:rPr>
        <w:t>fuerza laboral competente</w:t>
      </w:r>
      <w:r w:rsidR="008D353C">
        <w:rPr>
          <w:rFonts w:ascii="Verdana" w:hAnsi="Verdana" w:cs="Arial"/>
          <w:sz w:val="20"/>
          <w:szCs w:val="20"/>
          <w:lang w:eastAsia="en-GB"/>
        </w:rPr>
        <w:t>. Esperamos que esto brinde una oportunidad para garantizar que el ámbito laboral en la salud esté lo suficientemente capacitado para identificar y responder a las necesidades de la salud y atenciones específicas. Al mismo tiempo porque esto ayuda a reducir el estigma y la discriminación que las personas mayores sufren como resultado del sesgo y la discriminación entre las personas que prestan los servicios de salud y atención.</w:t>
      </w:r>
    </w:p>
    <w:p w:rsidR="008D353C" w:rsidRDefault="008D353C" w:rsidP="008D353C">
      <w:pPr>
        <w:rPr>
          <w:rFonts w:ascii="Verdana" w:hAnsi="Verdana" w:cs="Arial"/>
          <w:sz w:val="20"/>
          <w:szCs w:val="20"/>
          <w:lang w:eastAsia="en-GB"/>
        </w:rPr>
      </w:pPr>
      <w:r>
        <w:rPr>
          <w:rFonts w:ascii="Verdana" w:hAnsi="Verdana" w:cs="Arial"/>
          <w:sz w:val="20"/>
          <w:szCs w:val="20"/>
          <w:lang w:eastAsia="en-GB"/>
        </w:rPr>
        <w:t xml:space="preserve">Reconociendo que este anteproyecto de la Declaración Política ofrece varias oportunidades para garantizar que las personas mayores no se queden atrás en los esfuerzos para lograr la Cobertura Universal de la Salud, HelpAge cree que la Declaración podría fortalecerse aún </w:t>
      </w:r>
      <w:r w:rsidR="00597A6A">
        <w:rPr>
          <w:rFonts w:ascii="Verdana" w:hAnsi="Verdana" w:cs="Arial"/>
          <w:sz w:val="20"/>
          <w:szCs w:val="20"/>
          <w:lang w:eastAsia="en-GB"/>
        </w:rPr>
        <w:t>más para garantizar que</w:t>
      </w:r>
      <w:r>
        <w:rPr>
          <w:rFonts w:ascii="Verdana" w:hAnsi="Verdana" w:cs="Arial"/>
          <w:sz w:val="20"/>
          <w:szCs w:val="20"/>
          <w:lang w:eastAsia="en-GB"/>
        </w:rPr>
        <w:t xml:space="preserve"> las necesidades de salud y atención en los hombres y mujeres mayores sean plenamente atendidas:</w:t>
      </w:r>
    </w:p>
    <w:p w:rsidR="008D353C" w:rsidRPr="00C90940" w:rsidRDefault="00213D0D" w:rsidP="00370771">
      <w:pPr>
        <w:pStyle w:val="Prrafodelista"/>
        <w:numPr>
          <w:ilvl w:val="0"/>
          <w:numId w:val="2"/>
        </w:numPr>
        <w:rPr>
          <w:rFonts w:ascii="Verdana" w:hAnsi="Verdana" w:cs="Arial"/>
          <w:sz w:val="20"/>
          <w:szCs w:val="20"/>
          <w:lang w:eastAsia="en-GB"/>
        </w:rPr>
      </w:pPr>
      <w:r>
        <w:rPr>
          <w:rFonts w:ascii="Verdana" w:hAnsi="Verdana" w:cs="Arial"/>
          <w:sz w:val="20"/>
          <w:szCs w:val="20"/>
          <w:lang w:eastAsia="en-GB"/>
        </w:rPr>
        <w:t>HelpAge agradece la referencia en</w:t>
      </w:r>
      <w:r w:rsidR="008D353C" w:rsidRPr="00C90940">
        <w:rPr>
          <w:rFonts w:ascii="Verdana" w:hAnsi="Verdana" w:cs="Arial"/>
          <w:sz w:val="20"/>
          <w:szCs w:val="20"/>
          <w:lang w:eastAsia="en-GB"/>
        </w:rPr>
        <w:t xml:space="preserve"> los enfoques de la Cobertura Universal de la Salud de toda la sociedad, basados en la equidad y el ciclo de vida (párrafo 10). </w:t>
      </w:r>
      <w:r w:rsidR="00370771" w:rsidRPr="00C90940">
        <w:rPr>
          <w:rFonts w:ascii="Verdana" w:hAnsi="Verdana" w:cs="Arial"/>
          <w:sz w:val="20"/>
          <w:szCs w:val="20"/>
          <w:lang w:eastAsia="en-GB"/>
        </w:rPr>
        <w:t xml:space="preserve">Sin embargo, nos sigue preocupando que esto no sea totalmente inclusivo con las personas mayores y, en particular, para las personas de más edad. Una evidencia de esto se puede ver en el párrafo 8, que cita que el 70% de todas las muertes por ENT están en el grupo de edad 30-70. Esto significa que las personas mayores de 70 años no están siendo incluidas adecuadamente, </w:t>
      </w:r>
      <w:r w:rsidR="00370771" w:rsidRPr="00C90940">
        <w:rPr>
          <w:rFonts w:ascii="Verdana" w:hAnsi="Verdana" w:cs="Arial"/>
          <w:sz w:val="20"/>
          <w:szCs w:val="20"/>
          <w:lang w:val="es-ES" w:eastAsia="en-GB"/>
        </w:rPr>
        <w:t>a pesar de que las ENT afectan de manera desproporcionada a las personas en edad avanzada.</w:t>
      </w:r>
      <w:r w:rsidR="00C90940">
        <w:rPr>
          <w:rFonts w:ascii="Verdana" w:hAnsi="Verdana" w:cs="Arial"/>
          <w:sz w:val="20"/>
          <w:szCs w:val="20"/>
          <w:lang w:val="es-ES" w:eastAsia="en-GB"/>
        </w:rPr>
        <w:t xml:space="preserve"> Las </w:t>
      </w:r>
      <w:r w:rsidR="00C90940" w:rsidRPr="00C90940">
        <w:rPr>
          <w:rFonts w:ascii="Verdana" w:hAnsi="Verdana" w:cs="Arial"/>
          <w:b/>
          <w:sz w:val="20"/>
          <w:szCs w:val="20"/>
          <w:lang w:val="es-ES" w:eastAsia="en-GB"/>
        </w:rPr>
        <w:t xml:space="preserve">edades límites </w:t>
      </w:r>
      <w:r w:rsidR="00C90940">
        <w:rPr>
          <w:rFonts w:ascii="Verdana" w:hAnsi="Verdana" w:cs="Arial"/>
          <w:sz w:val="20"/>
          <w:szCs w:val="20"/>
          <w:lang w:val="es-ES" w:eastAsia="en-GB"/>
        </w:rPr>
        <w:t>se deben eliminar de las fuentes de datos que respaldan los esfuerzos para monitorear la Cobertura Universal de la Salud, incluidos los datos de la ENT gestionados por la Organización Mundial de la Salud (OMS).</w:t>
      </w:r>
    </w:p>
    <w:p w:rsidR="00C90940" w:rsidRPr="00C90940" w:rsidRDefault="00C90940" w:rsidP="00C90940">
      <w:pPr>
        <w:pStyle w:val="Prrafodelista"/>
        <w:rPr>
          <w:rFonts w:ascii="Verdana" w:hAnsi="Verdana" w:cs="Arial"/>
          <w:sz w:val="20"/>
          <w:szCs w:val="20"/>
          <w:lang w:eastAsia="en-GB"/>
        </w:rPr>
      </w:pPr>
    </w:p>
    <w:p w:rsidR="00C90940" w:rsidRPr="00DE2947" w:rsidRDefault="00C90940" w:rsidP="00370771">
      <w:pPr>
        <w:pStyle w:val="Prrafodelista"/>
        <w:numPr>
          <w:ilvl w:val="0"/>
          <w:numId w:val="2"/>
        </w:numPr>
        <w:rPr>
          <w:rFonts w:ascii="Verdana" w:hAnsi="Verdana" w:cs="Arial"/>
          <w:sz w:val="20"/>
          <w:szCs w:val="20"/>
          <w:lang w:eastAsia="en-GB"/>
        </w:rPr>
      </w:pPr>
      <w:r>
        <w:rPr>
          <w:rFonts w:ascii="Verdana" w:hAnsi="Verdana" w:cs="Arial"/>
          <w:sz w:val="20"/>
          <w:szCs w:val="20"/>
          <w:lang w:val="es-ES" w:eastAsia="en-GB"/>
        </w:rPr>
        <w:t>HelpAge también agradece las múltiples referencias a lo largo del anteproyecto de la Declaración Política para incrementar la esperanza de vida</w:t>
      </w:r>
      <w:r w:rsidR="00DE2947">
        <w:rPr>
          <w:rFonts w:ascii="Verdana" w:hAnsi="Verdana" w:cs="Arial"/>
          <w:sz w:val="20"/>
          <w:szCs w:val="20"/>
          <w:lang w:val="es-ES" w:eastAsia="en-GB"/>
        </w:rPr>
        <w:t xml:space="preserve">. Sin embargo, creemos que el anteproyecto debe ir más allá al enfatizar el impacto del envejecimiento de la población en los sistemas de salud y atención, y la </w:t>
      </w:r>
      <w:r w:rsidR="00DE2947">
        <w:rPr>
          <w:rFonts w:ascii="Verdana" w:hAnsi="Verdana" w:cs="Arial"/>
          <w:sz w:val="20"/>
          <w:szCs w:val="20"/>
          <w:lang w:val="es-ES" w:eastAsia="en-GB"/>
        </w:rPr>
        <w:lastRenderedPageBreak/>
        <w:t xml:space="preserve">oportunidad que brinda la Cobertura Universal de Salud para reconocer las transiciones necesarias de los sistemas de salud en respuesta. </w:t>
      </w:r>
    </w:p>
    <w:p w:rsidR="00DE2947" w:rsidRPr="00DE2947" w:rsidRDefault="00DE2947" w:rsidP="00DE2947">
      <w:pPr>
        <w:pStyle w:val="Prrafodelista"/>
        <w:rPr>
          <w:rFonts w:ascii="Verdana" w:hAnsi="Verdana" w:cs="Arial"/>
          <w:sz w:val="20"/>
          <w:szCs w:val="20"/>
          <w:lang w:eastAsia="en-GB"/>
        </w:rPr>
      </w:pPr>
    </w:p>
    <w:p w:rsidR="00A52BFF" w:rsidRPr="00A52BFF" w:rsidRDefault="00DE2947" w:rsidP="00A52BFF">
      <w:pPr>
        <w:pStyle w:val="Prrafodelista"/>
        <w:numPr>
          <w:ilvl w:val="0"/>
          <w:numId w:val="2"/>
        </w:numPr>
        <w:rPr>
          <w:rFonts w:ascii="Verdana" w:hAnsi="Verdana" w:cs="Arial"/>
          <w:sz w:val="20"/>
          <w:szCs w:val="20"/>
          <w:lang w:eastAsia="en-GB"/>
        </w:rPr>
      </w:pPr>
      <w:r w:rsidRPr="00A52BFF">
        <w:rPr>
          <w:rFonts w:ascii="Verdana" w:hAnsi="Verdana" w:cs="Arial"/>
          <w:sz w:val="20"/>
          <w:szCs w:val="20"/>
          <w:lang w:eastAsia="en-GB"/>
        </w:rPr>
        <w:t xml:space="preserve">HelpAge se complace al ver las referencias frecuentes dentro del anteproyecto para brindar </w:t>
      </w:r>
      <w:r w:rsidR="00213D0D">
        <w:rPr>
          <w:rFonts w:ascii="Verdana" w:hAnsi="Verdana" w:cs="Arial"/>
          <w:sz w:val="20"/>
          <w:szCs w:val="20"/>
          <w:lang w:eastAsia="en-GB"/>
        </w:rPr>
        <w:t xml:space="preserve">el </w:t>
      </w:r>
      <w:r w:rsidRPr="00A52BFF">
        <w:rPr>
          <w:rFonts w:ascii="Verdana" w:hAnsi="Verdana" w:cs="Arial"/>
          <w:sz w:val="20"/>
          <w:szCs w:val="20"/>
          <w:lang w:eastAsia="en-GB"/>
        </w:rPr>
        <w:t xml:space="preserve">acceso </w:t>
      </w:r>
      <w:r w:rsidR="00213D0D">
        <w:rPr>
          <w:rFonts w:ascii="Verdana" w:hAnsi="Verdana" w:cs="Arial"/>
          <w:sz w:val="20"/>
          <w:szCs w:val="20"/>
          <w:lang w:eastAsia="en-GB"/>
        </w:rPr>
        <w:t>a</w:t>
      </w:r>
      <w:r w:rsidRPr="00A52BFF">
        <w:rPr>
          <w:rFonts w:ascii="Verdana" w:hAnsi="Verdana" w:cs="Arial"/>
          <w:sz w:val="20"/>
          <w:szCs w:val="20"/>
          <w:lang w:eastAsia="en-GB"/>
        </w:rPr>
        <w:t xml:space="preserve"> medicamentos, vacunas, diagnósticos y tecnologías de salud. Sin embargo, nos gustaría asegurarnos que en la provisión de dichos productos y tecnologías de salud también se incluirán medicamentos, vacun</w:t>
      </w:r>
      <w:r w:rsidR="00A52BFF" w:rsidRPr="00A52BFF">
        <w:rPr>
          <w:rFonts w:ascii="Verdana" w:hAnsi="Verdana" w:cs="Arial"/>
          <w:sz w:val="20"/>
          <w:szCs w:val="20"/>
          <w:lang w:eastAsia="en-GB"/>
        </w:rPr>
        <w:t xml:space="preserve">as, herramientas de diagnóstico, </w:t>
      </w:r>
      <w:r w:rsidR="00A52BFF" w:rsidRPr="00A52BFF">
        <w:rPr>
          <w:rFonts w:ascii="Verdana" w:hAnsi="Verdana" w:cs="Arial"/>
          <w:sz w:val="20"/>
          <w:szCs w:val="20"/>
          <w:lang w:val="es-ES" w:eastAsia="en-GB"/>
        </w:rPr>
        <w:t>tecnologías de salud y dispositivos de asistencia pa</w:t>
      </w:r>
      <w:r w:rsidR="00A52BFF">
        <w:rPr>
          <w:rFonts w:ascii="Verdana" w:hAnsi="Verdana" w:cs="Arial"/>
          <w:sz w:val="20"/>
          <w:szCs w:val="20"/>
          <w:lang w:val="es-ES" w:eastAsia="en-GB"/>
        </w:rPr>
        <w:t>ra satisfacer las necesidades en</w:t>
      </w:r>
      <w:r w:rsidR="00A52BFF" w:rsidRPr="00A52BFF">
        <w:rPr>
          <w:rFonts w:ascii="Verdana" w:hAnsi="Verdana" w:cs="Arial"/>
          <w:sz w:val="20"/>
          <w:szCs w:val="20"/>
          <w:lang w:val="es-ES" w:eastAsia="en-GB"/>
        </w:rPr>
        <w:t xml:space="preserve"> salud y atención de las personas mayores.</w:t>
      </w:r>
    </w:p>
    <w:p w:rsidR="00DE2947" w:rsidRDefault="00DE2947" w:rsidP="00A52BFF">
      <w:pPr>
        <w:pStyle w:val="Prrafodelista"/>
        <w:rPr>
          <w:rFonts w:ascii="Verdana" w:hAnsi="Verdana" w:cs="Arial"/>
          <w:sz w:val="20"/>
          <w:szCs w:val="20"/>
          <w:lang w:eastAsia="en-GB"/>
        </w:rPr>
      </w:pPr>
    </w:p>
    <w:p w:rsidR="00A52BFF" w:rsidRDefault="00A52BFF" w:rsidP="00A52BFF">
      <w:pPr>
        <w:pStyle w:val="Prrafodelista"/>
        <w:ind w:left="0"/>
        <w:rPr>
          <w:rFonts w:ascii="Verdana" w:hAnsi="Verdana" w:cs="Arial"/>
          <w:sz w:val="20"/>
          <w:szCs w:val="20"/>
          <w:lang w:eastAsia="en-GB"/>
        </w:rPr>
      </w:pPr>
      <w:r>
        <w:rPr>
          <w:rFonts w:ascii="Verdana" w:hAnsi="Verdana" w:cs="Arial"/>
          <w:sz w:val="20"/>
          <w:szCs w:val="20"/>
          <w:lang w:eastAsia="en-GB"/>
        </w:rPr>
        <w:t>Las recomendaciones específicas, que HelpAge hará para fortalecer el anteproyecto de la Declaración Política, y así reflejar mejor las necesidades en salud y cuidado de las personas mayores, incluyen:</w:t>
      </w:r>
    </w:p>
    <w:p w:rsidR="00A52BFF" w:rsidRDefault="00A52BFF" w:rsidP="00A52BFF">
      <w:pPr>
        <w:pStyle w:val="Prrafodelista"/>
        <w:ind w:left="0"/>
        <w:rPr>
          <w:rFonts w:ascii="Verdana" w:hAnsi="Verdana" w:cs="Arial"/>
          <w:sz w:val="20"/>
          <w:szCs w:val="20"/>
          <w:lang w:eastAsia="en-GB"/>
        </w:rPr>
      </w:pPr>
    </w:p>
    <w:p w:rsidR="00A52BFF" w:rsidRDefault="00A52BFF" w:rsidP="00A52BFF">
      <w:pPr>
        <w:pStyle w:val="Prrafodelista"/>
        <w:numPr>
          <w:ilvl w:val="0"/>
          <w:numId w:val="3"/>
        </w:numPr>
        <w:rPr>
          <w:rFonts w:ascii="Verdana" w:hAnsi="Verdana" w:cs="Arial"/>
          <w:sz w:val="20"/>
          <w:szCs w:val="20"/>
          <w:lang w:eastAsia="en-GB"/>
        </w:rPr>
      </w:pPr>
      <w:r>
        <w:rPr>
          <w:rFonts w:ascii="Verdana" w:hAnsi="Verdana" w:cs="Arial"/>
          <w:b/>
          <w:sz w:val="20"/>
          <w:szCs w:val="20"/>
          <w:lang w:eastAsia="en-GB"/>
        </w:rPr>
        <w:t xml:space="preserve">Párrafo 22 </w:t>
      </w:r>
      <w:r w:rsidRPr="00A52BFF">
        <w:rPr>
          <w:rFonts w:ascii="Verdana" w:hAnsi="Verdana" w:cs="Arial"/>
          <w:sz w:val="20"/>
          <w:szCs w:val="20"/>
          <w:lang w:eastAsia="en-GB"/>
        </w:rPr>
        <w:t>y más:</w:t>
      </w:r>
      <w:r>
        <w:rPr>
          <w:rFonts w:ascii="Verdana" w:hAnsi="Verdana" w:cs="Arial"/>
          <w:b/>
          <w:sz w:val="20"/>
          <w:szCs w:val="20"/>
          <w:lang w:eastAsia="en-GB"/>
        </w:rPr>
        <w:t xml:space="preserve"> </w:t>
      </w:r>
      <w:r w:rsidRPr="00A52BFF">
        <w:rPr>
          <w:rFonts w:ascii="Verdana" w:hAnsi="Verdana" w:cs="Arial"/>
          <w:sz w:val="20"/>
          <w:szCs w:val="20"/>
          <w:lang w:eastAsia="en-GB"/>
        </w:rPr>
        <w:t>los compromisos</w:t>
      </w:r>
      <w:r>
        <w:rPr>
          <w:rFonts w:ascii="Verdana" w:hAnsi="Verdana" w:cs="Arial"/>
          <w:b/>
          <w:sz w:val="20"/>
          <w:szCs w:val="20"/>
          <w:lang w:eastAsia="en-GB"/>
        </w:rPr>
        <w:t xml:space="preserve"> </w:t>
      </w:r>
      <w:r w:rsidRPr="00A52BFF">
        <w:rPr>
          <w:rFonts w:ascii="Verdana" w:hAnsi="Verdana" w:cs="Arial"/>
          <w:sz w:val="20"/>
          <w:szCs w:val="20"/>
          <w:lang w:eastAsia="en-GB"/>
        </w:rPr>
        <w:t xml:space="preserve">deben incluir un lenguaje más específico </w:t>
      </w:r>
      <w:r>
        <w:rPr>
          <w:rFonts w:ascii="Verdana" w:hAnsi="Verdana" w:cs="Arial"/>
          <w:sz w:val="20"/>
          <w:szCs w:val="20"/>
          <w:lang w:eastAsia="en-GB"/>
        </w:rPr>
        <w:t>que haga referencia a la salud en la vida posterior, como “las necesidades de la salud en todas las edades” y referenciar los compromisos internacionales existentes, incluida la Estrategia Mundial de la OMS y el Plan de Acción sobre el Envejecimiento y la Salud.</w:t>
      </w:r>
    </w:p>
    <w:p w:rsidR="00A52BFF" w:rsidRDefault="00A52BFF" w:rsidP="00A52BFF">
      <w:pPr>
        <w:pStyle w:val="Prrafodelista"/>
        <w:numPr>
          <w:ilvl w:val="0"/>
          <w:numId w:val="3"/>
        </w:numPr>
        <w:rPr>
          <w:rFonts w:ascii="Verdana" w:hAnsi="Verdana" w:cs="Arial"/>
          <w:sz w:val="20"/>
          <w:szCs w:val="20"/>
          <w:lang w:eastAsia="en-GB"/>
        </w:rPr>
      </w:pPr>
      <w:r>
        <w:rPr>
          <w:rFonts w:ascii="Verdana" w:hAnsi="Verdana" w:cs="Arial"/>
          <w:b/>
          <w:sz w:val="20"/>
          <w:szCs w:val="20"/>
          <w:lang w:eastAsia="en-GB"/>
        </w:rPr>
        <w:t xml:space="preserve">Párrafo 28: </w:t>
      </w:r>
      <w:r>
        <w:rPr>
          <w:rFonts w:ascii="Verdana" w:hAnsi="Verdana" w:cs="Arial"/>
          <w:sz w:val="20"/>
          <w:szCs w:val="20"/>
          <w:lang w:eastAsia="en-GB"/>
        </w:rPr>
        <w:t xml:space="preserve">“Aumentar el acceso a la información de la salud y a los servicios de salud asequibles para las personas con discapacidades (incluyendo a las personas mayores con discapacidades) y aumentar los esfuerzos para su empoderamiento e inclusión…” </w:t>
      </w:r>
    </w:p>
    <w:p w:rsidR="00A52BFF" w:rsidRDefault="00A52BFF" w:rsidP="00A52BFF">
      <w:pPr>
        <w:pStyle w:val="Prrafodelista"/>
        <w:numPr>
          <w:ilvl w:val="0"/>
          <w:numId w:val="3"/>
        </w:numPr>
        <w:rPr>
          <w:rFonts w:ascii="Verdana" w:hAnsi="Verdana" w:cs="Arial"/>
          <w:sz w:val="20"/>
          <w:szCs w:val="20"/>
          <w:lang w:eastAsia="en-GB"/>
        </w:rPr>
      </w:pPr>
      <w:r>
        <w:rPr>
          <w:rFonts w:ascii="Verdana" w:hAnsi="Verdana" w:cs="Arial"/>
          <w:b/>
          <w:sz w:val="20"/>
          <w:szCs w:val="20"/>
          <w:lang w:eastAsia="en-GB"/>
        </w:rPr>
        <w:t xml:space="preserve">Párrafo 32: </w:t>
      </w:r>
      <w:r w:rsidRPr="00A52BFF">
        <w:rPr>
          <w:rFonts w:ascii="Verdana" w:hAnsi="Verdana" w:cs="Arial"/>
          <w:sz w:val="20"/>
          <w:szCs w:val="20"/>
          <w:lang w:eastAsia="en-GB"/>
        </w:rPr>
        <w:t>“los servicios esenciales en salud (y asistencia social)”</w:t>
      </w:r>
    </w:p>
    <w:p w:rsidR="00A52BFF" w:rsidRDefault="00A52BFF" w:rsidP="00A52BFF">
      <w:pPr>
        <w:pStyle w:val="Prrafodelista"/>
        <w:numPr>
          <w:ilvl w:val="0"/>
          <w:numId w:val="3"/>
        </w:numPr>
        <w:rPr>
          <w:rFonts w:ascii="Verdana" w:hAnsi="Verdana" w:cs="Arial"/>
          <w:sz w:val="20"/>
          <w:szCs w:val="20"/>
          <w:lang w:eastAsia="en-GB"/>
        </w:rPr>
      </w:pPr>
      <w:r>
        <w:rPr>
          <w:rFonts w:ascii="Verdana" w:hAnsi="Verdana" w:cs="Arial"/>
          <w:b/>
          <w:sz w:val="20"/>
          <w:szCs w:val="20"/>
          <w:lang w:eastAsia="en-GB"/>
        </w:rPr>
        <w:t xml:space="preserve">Párrafo 50: </w:t>
      </w:r>
      <w:r w:rsidRPr="00A52BFF">
        <w:rPr>
          <w:rFonts w:ascii="Verdana" w:hAnsi="Verdana" w:cs="Arial"/>
          <w:sz w:val="20"/>
          <w:szCs w:val="20"/>
          <w:lang w:eastAsia="en-GB"/>
        </w:rPr>
        <w:t>“Capacitación basada en evidencia y en sensibilidad hacia la cultura, el género (y la edad)…”</w:t>
      </w:r>
    </w:p>
    <w:p w:rsidR="00A52BFF" w:rsidRDefault="00A52BFF" w:rsidP="00A52BFF">
      <w:pPr>
        <w:pStyle w:val="Prrafodelista"/>
        <w:numPr>
          <w:ilvl w:val="0"/>
          <w:numId w:val="3"/>
        </w:numPr>
        <w:rPr>
          <w:rFonts w:ascii="Verdana" w:hAnsi="Verdana" w:cs="Arial"/>
          <w:sz w:val="20"/>
          <w:szCs w:val="20"/>
          <w:lang w:eastAsia="en-GB"/>
        </w:rPr>
      </w:pPr>
      <w:r>
        <w:rPr>
          <w:rFonts w:ascii="Verdana" w:hAnsi="Verdana" w:cs="Arial"/>
          <w:b/>
          <w:sz w:val="20"/>
          <w:szCs w:val="20"/>
          <w:lang w:eastAsia="en-GB"/>
        </w:rPr>
        <w:t>Párrafo 56:</w:t>
      </w:r>
      <w:r>
        <w:rPr>
          <w:rFonts w:ascii="Verdana" w:hAnsi="Verdana" w:cs="Arial"/>
          <w:sz w:val="20"/>
          <w:szCs w:val="20"/>
          <w:lang w:eastAsia="en-GB"/>
        </w:rPr>
        <w:t xml:space="preserve"> “empoderamiento de las mujeres (en todas las edades)…”</w:t>
      </w:r>
    </w:p>
    <w:p w:rsidR="00F915C7" w:rsidRDefault="00A52BFF" w:rsidP="00A52BFF">
      <w:pPr>
        <w:pStyle w:val="Prrafodelista"/>
        <w:numPr>
          <w:ilvl w:val="0"/>
          <w:numId w:val="3"/>
        </w:numPr>
        <w:rPr>
          <w:rFonts w:ascii="Verdana" w:hAnsi="Verdana" w:cs="Arial"/>
          <w:sz w:val="20"/>
          <w:szCs w:val="20"/>
          <w:lang w:eastAsia="en-GB"/>
        </w:rPr>
      </w:pPr>
      <w:r>
        <w:rPr>
          <w:rFonts w:ascii="Verdana" w:hAnsi="Verdana" w:cs="Arial"/>
          <w:b/>
          <w:sz w:val="20"/>
          <w:szCs w:val="20"/>
          <w:lang w:eastAsia="en-GB"/>
        </w:rPr>
        <w:t>Párrafo 37:</w:t>
      </w:r>
      <w:r w:rsidR="00F915C7">
        <w:rPr>
          <w:rFonts w:ascii="Verdana" w:hAnsi="Verdana" w:cs="Arial"/>
          <w:sz w:val="20"/>
          <w:szCs w:val="20"/>
          <w:lang w:eastAsia="en-GB"/>
        </w:rPr>
        <w:t xml:space="preserve"> con el fin de reforzar la idea de que la Atención Primaria de la Salud es la piedra angular de un sistema de salud sostenible, se debe poner mayor atención en esto y se debe figurar mucho más arriba en la lista de prioridades.</w:t>
      </w:r>
    </w:p>
    <w:p w:rsidR="00F915C7" w:rsidRDefault="00F915C7" w:rsidP="00F915C7">
      <w:pPr>
        <w:rPr>
          <w:rFonts w:ascii="Verdana" w:hAnsi="Verdana" w:cs="Arial"/>
          <w:b/>
          <w:color w:val="EC3870"/>
          <w:sz w:val="20"/>
          <w:szCs w:val="20"/>
          <w:lang w:eastAsia="en-GB"/>
        </w:rPr>
      </w:pPr>
      <w:r>
        <w:rPr>
          <w:rFonts w:ascii="Verdana" w:hAnsi="Verdana" w:cs="Arial"/>
          <w:b/>
          <w:color w:val="EC3870"/>
          <w:sz w:val="20"/>
          <w:szCs w:val="20"/>
          <w:lang w:eastAsia="en-GB"/>
        </w:rPr>
        <w:t>HelpAge Internacional es una red global de organizaciones que promueven los derechos de las personas mayores para llevar vidas dignas, sanas y seguras.</w:t>
      </w:r>
    </w:p>
    <w:p w:rsidR="00F915C7" w:rsidRPr="00F915C7" w:rsidRDefault="00F915C7" w:rsidP="00F915C7">
      <w:pPr>
        <w:rPr>
          <w:rFonts w:ascii="Verdana" w:hAnsi="Verdana" w:cs="Arial"/>
          <w:b/>
          <w:sz w:val="20"/>
          <w:szCs w:val="20"/>
          <w:lang w:eastAsia="en-GB"/>
        </w:rPr>
      </w:pPr>
      <w:r>
        <w:rPr>
          <w:rFonts w:ascii="Verdana" w:hAnsi="Verdana" w:cs="Arial"/>
          <w:b/>
          <w:sz w:val="20"/>
          <w:szCs w:val="20"/>
          <w:lang w:eastAsia="en-GB"/>
        </w:rPr>
        <w:t>www.helpage.org</w:t>
      </w:r>
    </w:p>
    <w:p w:rsidR="00A52BFF" w:rsidRDefault="00A52BFF" w:rsidP="00A52BFF">
      <w:pPr>
        <w:pStyle w:val="Prrafodelista"/>
        <w:ind w:left="0"/>
        <w:rPr>
          <w:rFonts w:ascii="Verdana" w:hAnsi="Verdana" w:cs="Arial"/>
          <w:sz w:val="20"/>
          <w:szCs w:val="20"/>
          <w:lang w:eastAsia="en-GB"/>
        </w:rPr>
      </w:pPr>
    </w:p>
    <w:p w:rsidR="00A52BFF" w:rsidRPr="00C90940" w:rsidRDefault="00A52BFF" w:rsidP="00A52BFF">
      <w:pPr>
        <w:pStyle w:val="Prrafodelista"/>
        <w:ind w:left="0"/>
        <w:rPr>
          <w:rFonts w:ascii="Verdana" w:hAnsi="Verdana" w:cs="Arial"/>
          <w:sz w:val="20"/>
          <w:szCs w:val="20"/>
          <w:lang w:eastAsia="en-GB"/>
        </w:rPr>
      </w:pPr>
    </w:p>
    <w:sectPr w:rsidR="00A52BFF" w:rsidRPr="00C90940" w:rsidSect="008B169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1281"/>
    <w:multiLevelType w:val="hybridMultilevel"/>
    <w:tmpl w:val="0D606D60"/>
    <w:lvl w:ilvl="0" w:tplc="D7D23470">
      <w:start w:val="1"/>
      <w:numFmt w:val="bullet"/>
      <w:lvlText w:val=""/>
      <w:lvlJc w:val="left"/>
      <w:pPr>
        <w:ind w:left="720" w:hanging="360"/>
      </w:pPr>
      <w:rPr>
        <w:rFonts w:ascii="Symbol" w:hAnsi="Symbol" w:hint="default"/>
        <w:color w:val="EC387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D8B4E12"/>
    <w:multiLevelType w:val="hybridMultilevel"/>
    <w:tmpl w:val="6D12B3D0"/>
    <w:lvl w:ilvl="0" w:tplc="D7D23470">
      <w:start w:val="1"/>
      <w:numFmt w:val="bullet"/>
      <w:lvlText w:val=""/>
      <w:lvlJc w:val="left"/>
      <w:pPr>
        <w:ind w:left="720" w:hanging="360"/>
      </w:pPr>
      <w:rPr>
        <w:rFonts w:ascii="Symbol" w:hAnsi="Symbol" w:hint="default"/>
        <w:color w:val="EC387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7C86C0A"/>
    <w:multiLevelType w:val="hybridMultilevel"/>
    <w:tmpl w:val="0688EC36"/>
    <w:lvl w:ilvl="0" w:tplc="D7D23470">
      <w:start w:val="1"/>
      <w:numFmt w:val="bullet"/>
      <w:lvlText w:val=""/>
      <w:lvlJc w:val="left"/>
      <w:pPr>
        <w:ind w:left="720" w:hanging="360"/>
      </w:pPr>
      <w:rPr>
        <w:rFonts w:ascii="Symbol" w:hAnsi="Symbol" w:hint="default"/>
        <w:color w:val="EC387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8049F"/>
    <w:rsid w:val="00112709"/>
    <w:rsid w:val="00174E9A"/>
    <w:rsid w:val="00213D0D"/>
    <w:rsid w:val="002F3F64"/>
    <w:rsid w:val="00370771"/>
    <w:rsid w:val="0038049F"/>
    <w:rsid w:val="0055269D"/>
    <w:rsid w:val="00597A6A"/>
    <w:rsid w:val="0067179A"/>
    <w:rsid w:val="007578EF"/>
    <w:rsid w:val="008B1696"/>
    <w:rsid w:val="008C732A"/>
    <w:rsid w:val="008D353C"/>
    <w:rsid w:val="00A52BFF"/>
    <w:rsid w:val="00BB76A1"/>
    <w:rsid w:val="00C90940"/>
    <w:rsid w:val="00DE2947"/>
    <w:rsid w:val="00F915C7"/>
    <w:rsid w:val="00FC483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96"/>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rsid w:val="0038049F"/>
    <w:pPr>
      <w:spacing w:after="120" w:line="240" w:lineRule="auto"/>
      <w:contextualSpacing/>
    </w:pPr>
    <w:rPr>
      <w:rFonts w:asciiTheme="majorHAnsi" w:eastAsiaTheme="majorEastAsia" w:hAnsiTheme="majorHAnsi" w:cstheme="majorBidi"/>
      <w:color w:val="4F81BD" w:themeColor="accent1"/>
      <w:spacing w:val="5"/>
      <w:kern w:val="28"/>
      <w:sz w:val="56"/>
      <w:szCs w:val="52"/>
    </w:rPr>
  </w:style>
  <w:style w:type="character" w:customStyle="1" w:styleId="TtuloCar">
    <w:name w:val="Título Car"/>
    <w:basedOn w:val="Fuentedeprrafopredeter"/>
    <w:link w:val="Ttulo"/>
    <w:rsid w:val="0038049F"/>
    <w:rPr>
      <w:rFonts w:asciiTheme="majorHAnsi" w:eastAsiaTheme="majorEastAsia" w:hAnsiTheme="majorHAnsi" w:cstheme="majorBidi"/>
      <w:color w:val="4F81BD" w:themeColor="accent1"/>
      <w:spacing w:val="5"/>
      <w:kern w:val="28"/>
      <w:sz w:val="56"/>
      <w:szCs w:val="52"/>
      <w:lang w:val="en-GB"/>
    </w:rPr>
  </w:style>
  <w:style w:type="paragraph" w:styleId="Prrafodelista">
    <w:name w:val="List Paragraph"/>
    <w:basedOn w:val="Normal"/>
    <w:uiPriority w:val="34"/>
    <w:qFormat/>
    <w:rsid w:val="00BB76A1"/>
    <w:pPr>
      <w:ind w:left="720"/>
      <w:contextualSpacing/>
    </w:pPr>
  </w:style>
  <w:style w:type="paragraph" w:styleId="HTMLconformatoprevio">
    <w:name w:val="HTML Preformatted"/>
    <w:basedOn w:val="Normal"/>
    <w:link w:val="HTMLconformatoprevioCar"/>
    <w:uiPriority w:val="99"/>
    <w:semiHidden/>
    <w:unhideWhenUsed/>
    <w:rsid w:val="0037077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70771"/>
    <w:rPr>
      <w:rFonts w:ascii="Consolas" w:hAnsi="Consolas"/>
      <w:sz w:val="20"/>
      <w:szCs w:val="20"/>
    </w:rPr>
  </w:style>
  <w:style w:type="character" w:styleId="Hipervnculo">
    <w:name w:val="Hyperlink"/>
    <w:basedOn w:val="Fuentedeprrafopredeter"/>
    <w:rsid w:val="00F915C7"/>
    <w:rPr>
      <w:color w:val="auto"/>
      <w:u w:val="none"/>
    </w:rPr>
  </w:style>
</w:styles>
</file>

<file path=word/webSettings.xml><?xml version="1.0" encoding="utf-8"?>
<w:webSettings xmlns:r="http://schemas.openxmlformats.org/officeDocument/2006/relationships" xmlns:w="http://schemas.openxmlformats.org/wordprocessingml/2006/main">
  <w:divs>
    <w:div w:id="161241519">
      <w:bodyDiv w:val="1"/>
      <w:marLeft w:val="0"/>
      <w:marRight w:val="0"/>
      <w:marTop w:val="0"/>
      <w:marBottom w:val="0"/>
      <w:divBdr>
        <w:top w:val="none" w:sz="0" w:space="0" w:color="auto"/>
        <w:left w:val="none" w:sz="0" w:space="0" w:color="auto"/>
        <w:bottom w:val="none" w:sz="0" w:space="0" w:color="auto"/>
        <w:right w:val="none" w:sz="0" w:space="0" w:color="auto"/>
      </w:divBdr>
    </w:div>
    <w:div w:id="546069636">
      <w:bodyDiv w:val="1"/>
      <w:marLeft w:val="0"/>
      <w:marRight w:val="0"/>
      <w:marTop w:val="0"/>
      <w:marBottom w:val="0"/>
      <w:divBdr>
        <w:top w:val="none" w:sz="0" w:space="0" w:color="auto"/>
        <w:left w:val="none" w:sz="0" w:space="0" w:color="auto"/>
        <w:bottom w:val="none" w:sz="0" w:space="0" w:color="auto"/>
        <w:right w:val="none" w:sz="0" w:space="0" w:color="auto"/>
      </w:divBdr>
    </w:div>
    <w:div w:id="1055666308">
      <w:bodyDiv w:val="1"/>
      <w:marLeft w:val="0"/>
      <w:marRight w:val="0"/>
      <w:marTop w:val="0"/>
      <w:marBottom w:val="0"/>
      <w:divBdr>
        <w:top w:val="none" w:sz="0" w:space="0" w:color="auto"/>
        <w:left w:val="none" w:sz="0" w:space="0" w:color="auto"/>
        <w:bottom w:val="none" w:sz="0" w:space="0" w:color="auto"/>
        <w:right w:val="none" w:sz="0" w:space="0" w:color="auto"/>
      </w:divBdr>
    </w:div>
    <w:div w:id="164098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Admin</dc:creator>
  <cp:lastModifiedBy>User Admin</cp:lastModifiedBy>
  <cp:revision>4</cp:revision>
  <dcterms:created xsi:type="dcterms:W3CDTF">2019-06-11T13:25:00Z</dcterms:created>
  <dcterms:modified xsi:type="dcterms:W3CDTF">2019-06-11T22:01:00Z</dcterms:modified>
</cp:coreProperties>
</file>